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方正公文小标宋" w:hAnsi="方正公文小标宋" w:eastAsia="方正公文小标宋" w:cs="方正公文小标宋"/>
          <w:b/>
          <w:bCs/>
          <w:color w:val="333333"/>
          <w:kern w:val="0"/>
          <w:sz w:val="44"/>
          <w:szCs w:val="44"/>
        </w:rPr>
      </w:pPr>
      <w:r>
        <w:rPr>
          <w:rFonts w:hint="eastAsia" w:ascii="方正公文小标宋" w:hAnsi="方正公文小标宋" w:eastAsia="方正公文小标宋" w:cs="方正公文小标宋"/>
          <w:b/>
          <w:bCs/>
          <w:color w:val="333333"/>
          <w:kern w:val="0"/>
          <w:sz w:val="44"/>
          <w:szCs w:val="44"/>
          <w:lang w:eastAsia="zh-CN"/>
        </w:rPr>
        <w:t>同仁市人民</w:t>
      </w:r>
      <w:r>
        <w:rPr>
          <w:rFonts w:hint="eastAsia" w:ascii="方正公文小标宋" w:hAnsi="方正公文小标宋" w:eastAsia="方正公文小标宋" w:cs="方正公文小标宋"/>
          <w:b/>
          <w:bCs/>
          <w:color w:val="333333"/>
          <w:kern w:val="0"/>
          <w:sz w:val="44"/>
          <w:szCs w:val="44"/>
        </w:rPr>
        <w:t>政府</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Times New Roman" w:hAnsi="Times New Roman" w:eastAsia="方正小标宋简体" w:cs="Times New Roman"/>
          <w:b/>
          <w:bCs/>
          <w:color w:val="333333"/>
          <w:kern w:val="0"/>
          <w:sz w:val="36"/>
          <w:szCs w:val="36"/>
        </w:rPr>
      </w:pPr>
      <w:r>
        <w:rPr>
          <w:rFonts w:hint="eastAsia" w:ascii="方正公文小标宋" w:hAnsi="方正公文小标宋" w:eastAsia="方正公文小标宋" w:cs="方正公文小标宋"/>
          <w:b/>
          <w:bCs/>
          <w:color w:val="333333"/>
          <w:kern w:val="0"/>
          <w:sz w:val="44"/>
          <w:szCs w:val="44"/>
          <w:lang w:val="en-US" w:eastAsia="zh-CN"/>
        </w:rPr>
        <w:t>2020年度政府</w:t>
      </w:r>
      <w:r>
        <w:rPr>
          <w:rFonts w:hint="eastAsia" w:ascii="方正公文小标宋" w:hAnsi="方正公文小标宋" w:eastAsia="方正公文小标宋" w:cs="方正公文小标宋"/>
          <w:b/>
          <w:bCs/>
          <w:color w:val="333333"/>
          <w:kern w:val="0"/>
          <w:sz w:val="44"/>
          <w:szCs w:val="44"/>
        </w:rPr>
        <w:t>信息公开工作年度报告</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left="0" w:leftChars="0" w:right="0" w:rightChars="0"/>
        <w:jc w:val="center"/>
        <w:textAlignment w:val="auto"/>
        <w:outlineLvl w:val="9"/>
        <w:rPr>
          <w:rFonts w:hint="default" w:ascii="Times New Roman" w:hAnsi="Times New Roman" w:eastAsia="方正小标宋简体" w:cs="Times New Roman"/>
          <w:b/>
          <w:bCs/>
          <w:color w:val="333333"/>
          <w:kern w:val="0"/>
          <w:sz w:val="36"/>
          <w:szCs w:val="36"/>
        </w:rPr>
      </w:pP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640" w:firstLineChars="200"/>
        <w:jc w:val="both"/>
        <w:textAlignment w:val="auto"/>
        <w:outlineLvl w:val="9"/>
        <w:rPr>
          <w:rFonts w:hint="eastAsia" w:ascii="仿宋_GB2312" w:hAnsi="仿宋_GB2312" w:eastAsia="仿宋_GB2312" w:cs="仿宋_GB2312"/>
          <w:b/>
          <w:bCs/>
          <w:color w:val="333333"/>
          <w:spacing w:val="-20"/>
          <w:kern w:val="0"/>
          <w:sz w:val="32"/>
          <w:szCs w:val="32"/>
        </w:rPr>
      </w:pPr>
      <w:r>
        <w:rPr>
          <w:rFonts w:hint="eastAsia" w:ascii="仿宋_GB2312" w:hAnsi="仿宋_GB2312" w:eastAsia="仿宋_GB2312" w:cs="仿宋_GB2312"/>
          <w:bCs/>
          <w:color w:val="333333"/>
          <w:kern w:val="0"/>
          <w:sz w:val="32"/>
          <w:szCs w:val="32"/>
          <w:lang w:eastAsia="zh-CN"/>
        </w:rPr>
        <w:t>同仁市人民政府</w:t>
      </w:r>
      <w:r>
        <w:rPr>
          <w:rFonts w:hint="eastAsia" w:ascii="仿宋_GB2312" w:hAnsi="仿宋_GB2312" w:eastAsia="仿宋_GB2312" w:cs="仿宋_GB2312"/>
          <w:bCs/>
          <w:color w:val="333333"/>
          <w:kern w:val="0"/>
          <w:sz w:val="32"/>
          <w:szCs w:val="32"/>
          <w:lang w:val="en-US" w:eastAsia="zh-CN"/>
        </w:rPr>
        <w:t xml:space="preserve">2020年度政府信息公开工作年度报告根据2019年4月3日中华人民共和国国务院令第711号修订后的《中华人民共和国政府信息公开条例》第四十九条和第五十条规定编制完成。本报告包括总体情况、行政机关主动公开政府信息情况、行政机关收到和处理政府信息公开申请情况、政府信息公开行政复议和行政诉讼情况、政府信息公开工作存在的主要问题及改进情况、其他需要报告的事项等六个部分。本年度报告全文及数据统计期限从2020年1月1日起到2020年12月31日止。 </w:t>
      </w:r>
      <w:r>
        <w:rPr>
          <w:rFonts w:hint="eastAsia" w:ascii="仿宋_GB2312" w:hAnsi="仿宋_GB2312" w:eastAsia="仿宋_GB2312" w:cs="仿宋_GB2312"/>
          <w:bCs/>
          <w:color w:val="333333"/>
          <w:spacing w:val="-20"/>
          <w:kern w:val="0"/>
          <w:sz w:val="32"/>
          <w:szCs w:val="32"/>
          <w:lang w:val="en-US" w:eastAsia="zh-CN"/>
        </w:rPr>
        <w:t>本 年 度 报 告 电 子 版 可 通 过 青 海 省 人 民 政 府 门 户 网 站 （http://www.tongrenxian.gov.cn/xxgk/Default.aspx）下载。</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0" w:firstLineChars="0"/>
        <w:jc w:val="left"/>
        <w:textAlignment w:val="auto"/>
        <w:outlineLvl w:val="9"/>
        <w:rPr>
          <w:rFonts w:hint="eastAsia" w:ascii="仿宋_GB2312" w:hAnsi="仿宋_GB2312" w:eastAsia="仿宋_GB2312" w:cs="仿宋_GB2312"/>
          <w:b/>
          <w:bCs w:val="0"/>
          <w:color w:val="333333"/>
          <w:kern w:val="0"/>
          <w:sz w:val="32"/>
          <w:szCs w:val="32"/>
        </w:rPr>
      </w:pPr>
      <w:r>
        <w:rPr>
          <w:rFonts w:hint="eastAsia" w:ascii="仿宋_GB2312" w:hAnsi="仿宋_GB2312" w:eastAsia="仿宋_GB2312" w:cs="仿宋_GB2312"/>
          <w:b/>
          <w:bCs w:val="0"/>
          <w:color w:val="333333"/>
          <w:kern w:val="0"/>
          <w:sz w:val="32"/>
          <w:szCs w:val="32"/>
        </w:rPr>
        <w:t>一、总体情况</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640" w:firstLineChars="200"/>
        <w:jc w:val="both"/>
        <w:textAlignment w:val="auto"/>
        <w:outlineLvl w:val="9"/>
        <w:rPr>
          <w:rFonts w:hint="eastAsia" w:ascii="仿宋_GB2312" w:hAnsi="仿宋_GB2312" w:eastAsia="仿宋_GB2312" w:cs="仿宋_GB2312"/>
          <w:bCs/>
          <w:color w:val="333333"/>
          <w:kern w:val="0"/>
          <w:sz w:val="32"/>
          <w:szCs w:val="32"/>
          <w:lang w:val="en-US" w:eastAsia="zh-CN"/>
        </w:rPr>
      </w:pPr>
      <w:r>
        <w:rPr>
          <w:rFonts w:hint="eastAsia" w:ascii="仿宋_GB2312" w:hAnsi="仿宋_GB2312" w:eastAsia="仿宋_GB2312" w:cs="仿宋_GB2312"/>
          <w:bCs/>
          <w:color w:val="333333"/>
          <w:kern w:val="0"/>
          <w:sz w:val="32"/>
          <w:szCs w:val="32"/>
          <w:lang w:val="en-US" w:eastAsia="zh-CN"/>
        </w:rPr>
        <w:t xml:space="preserve">2020年，同仁市人民政府坚持以习近平新时代中国特色社会主义思想为指导，全面贯彻党的十九大及十九届二中、三中、四中、五中全会精神，坚持以人民为中心，认真落实党中央、国务院、青海省人民政府、黄南州人民政府关于全面推进政务公开工作的决策部署，紧紧围绕《政府工作报告》和《中华人民共和国政府信息公开条例》，对照青海省、黄南州2020年政务公开工作要点，聚焦做好“六稳”工作、落实“六保”任务，着眼深化“放管服”改革优化营商环境，持续深化公开内涵，加强组织领导，压实工作责任，健全管理制度，坚持党和政府中心工作及群众关注关切为导向，认真抓好公开解读回应、优化政务服务、完善公开平台建设、制度机制完善等工作。以公开促落实、优服务、提效能，以高质量公开助推国家治理体系和治理能力现代化建设，切实为增强人民群众获得感、促进经济持续健康发展和社会大局稳定发挥积极作用。 </w:t>
      </w:r>
    </w:p>
    <w:p>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576" w:lineRule="exact"/>
        <w:ind w:right="0" w:rightChars="0" w:firstLine="643" w:firstLineChars="200"/>
        <w:jc w:val="both"/>
        <w:textAlignment w:val="auto"/>
        <w:outlineLvl w:val="9"/>
        <w:rPr>
          <w:rFonts w:hint="eastAsia" w:ascii="仿宋_GB2312" w:hAnsi="仿宋_GB2312" w:eastAsia="仿宋_GB2312" w:cs="仿宋_GB2312"/>
          <w:bCs/>
          <w:color w:val="333333"/>
          <w:kern w:val="0"/>
          <w:sz w:val="32"/>
          <w:szCs w:val="32"/>
          <w:lang w:val="en-US" w:eastAsia="zh-CN"/>
        </w:rPr>
      </w:pPr>
      <w:r>
        <w:rPr>
          <w:rFonts w:hint="eastAsia" w:ascii="仿宋_GB2312" w:hAnsi="仿宋_GB2312" w:eastAsia="仿宋_GB2312" w:cs="仿宋_GB2312"/>
          <w:b/>
          <w:bCs w:val="0"/>
          <w:color w:val="333333"/>
          <w:kern w:val="0"/>
          <w:sz w:val="32"/>
          <w:szCs w:val="32"/>
          <w:lang w:val="en-US" w:eastAsia="zh-CN"/>
        </w:rPr>
        <w:t>及时更新组织领导小组，持续完善信息公开制度</w:t>
      </w:r>
      <w:r>
        <w:rPr>
          <w:rFonts w:hint="eastAsia" w:ascii="仿宋_GB2312" w:hAnsi="仿宋_GB2312" w:eastAsia="仿宋_GB2312" w:cs="仿宋_GB2312"/>
          <w:bCs/>
          <w:color w:val="333333"/>
          <w:kern w:val="0"/>
          <w:sz w:val="32"/>
          <w:szCs w:val="32"/>
          <w:lang w:val="en-US" w:eastAsia="zh-CN"/>
        </w:rPr>
        <w:t>。一是为有力保障政务公开工作的高质量开展，加大信息公开的力度，同仁市人民政府不断适应要求积极调整政务公开工作领导小组，保持市委常委、市人民政府副市长胡伟东为组长，调整同仁市人民政府办公室主任辛作鲲为副组长，及时更新小组成员；二是持续完善信息公开保密、主动公开、依申请公开、解读回应、政务服务、政务舆情检测研判回应、市长信箱等一系列制度，加强政务公开的制度保障。</w:t>
      </w:r>
    </w:p>
    <w:p>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576" w:lineRule="exact"/>
        <w:ind w:right="0" w:rightChars="0" w:firstLine="643" w:firstLineChars="200"/>
        <w:jc w:val="both"/>
        <w:textAlignment w:val="auto"/>
        <w:outlineLvl w:val="9"/>
        <w:rPr>
          <w:rFonts w:hint="eastAsia" w:ascii="仿宋_GB2312" w:hAnsi="仿宋_GB2312" w:eastAsia="仿宋_GB2312" w:cs="仿宋_GB2312"/>
          <w:bCs/>
          <w:color w:val="333333"/>
          <w:kern w:val="0"/>
          <w:sz w:val="32"/>
          <w:szCs w:val="32"/>
          <w:lang w:val="en-US" w:eastAsia="zh-CN"/>
        </w:rPr>
      </w:pPr>
      <w:r>
        <w:rPr>
          <w:rFonts w:hint="eastAsia" w:ascii="仿宋_GB2312" w:hAnsi="仿宋_GB2312" w:eastAsia="仿宋_GB2312" w:cs="仿宋_GB2312"/>
          <w:b/>
          <w:bCs w:val="0"/>
          <w:color w:val="333333"/>
          <w:kern w:val="0"/>
          <w:sz w:val="32"/>
          <w:szCs w:val="32"/>
          <w:lang w:val="en-US" w:eastAsia="zh-CN"/>
        </w:rPr>
        <w:t>全面夯实平台建设基础，打造政务公开阳光政府。</w:t>
      </w:r>
      <w:r>
        <w:rPr>
          <w:rFonts w:hint="eastAsia" w:ascii="仿宋_GB2312" w:hAnsi="仿宋_GB2312" w:eastAsia="仿宋_GB2312" w:cs="仿宋_GB2312"/>
          <w:bCs/>
          <w:color w:val="333333"/>
          <w:kern w:val="0"/>
          <w:sz w:val="32"/>
          <w:szCs w:val="32"/>
          <w:lang w:val="en-US" w:eastAsia="zh-CN"/>
        </w:rPr>
        <w:t>同仁市人民政府根据《国务院办公厅政府信息与政务公开办公室关于规范政府信息公开平台有关事项的通知》（国办公开办函2019第61号）和《青海省人民政府办公厅关于规范政府信息公开平台建设有关事项的通知》（青政办秘函（2020）第99号）文件要求，把政府信息公开平台建设和管理工作，作为推进、指导、协调、监督的重要内容。一是把握“专栏姓专”找准定位，信息公开平台是发布法定主动公开内容的公开平台，也是加强重点政府信息管理的管理平台。二是把原栏目“政务公开”内容和页面设计进一步规范为“政府信息公开”，并在同仁市人民政府门户网站首页展示。此栏目内容共有五个板块，分别是政策、政府信息公开指南、政府信息公开制度、法定主动公开内容、政府信息公开年报、依申请公开。页面设计参考中国政府网运行中心设计的“政府信息公开栏目页面设计参考方案”。</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643" w:firstLineChars="200"/>
        <w:jc w:val="both"/>
        <w:textAlignment w:val="auto"/>
        <w:outlineLvl w:val="9"/>
        <w:rPr>
          <w:rFonts w:hint="eastAsia" w:ascii="仿宋_GB2312" w:hAnsi="仿宋_GB2312" w:eastAsia="仿宋_GB2312" w:cs="仿宋_GB2312"/>
          <w:bCs/>
          <w:color w:val="333333"/>
          <w:kern w:val="0"/>
          <w:sz w:val="32"/>
          <w:szCs w:val="32"/>
          <w:lang w:val="en-US" w:eastAsia="zh-CN"/>
        </w:rPr>
      </w:pPr>
      <w:r>
        <w:rPr>
          <w:rFonts w:hint="eastAsia" w:ascii="仿宋_GB2312" w:hAnsi="仿宋_GB2312" w:eastAsia="仿宋_GB2312" w:cs="仿宋_GB2312"/>
          <w:b/>
          <w:bCs w:val="0"/>
          <w:color w:val="333333"/>
          <w:kern w:val="0"/>
          <w:sz w:val="32"/>
          <w:szCs w:val="32"/>
          <w:lang w:val="en-US" w:eastAsia="zh-CN"/>
        </w:rPr>
        <w:t>（三）强化信息公开管理工作，编制政务公开标准目录。</w:t>
      </w:r>
      <w:r>
        <w:rPr>
          <w:rFonts w:hint="eastAsia" w:ascii="仿宋_GB2312" w:hAnsi="仿宋_GB2312" w:eastAsia="仿宋_GB2312" w:cs="仿宋_GB2312"/>
          <w:bCs/>
          <w:color w:val="333333"/>
          <w:kern w:val="0"/>
          <w:sz w:val="32"/>
          <w:szCs w:val="32"/>
          <w:lang w:val="en-US" w:eastAsia="zh-CN"/>
        </w:rPr>
        <w:t>一是2020年度市政府门户网站共公开1253条，政策、民生类等信息373条，新闻快讯880条，办理有效市长信箱3条。二是认真贯彻落实《青海省人民政府办公厅关于印发全面推进基层政务公开标准化规范化工作实施方案的通知》（青政办〔2020〕43号）要求，对照国务院部门制定的国土空间规划、重大建设项目、公共资源交易、财政预决算、安全生产、税收管理、征地补偿、国有土地上房屋征收等26个试点领域标准指引，结合市政府政府权责清单和公共服务事项清单，全面梳理细化相关领域政务公开事项，于2020年底编制完成了基层政务公开标准目录。</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643" w:firstLineChars="200"/>
        <w:jc w:val="both"/>
        <w:textAlignment w:val="auto"/>
        <w:outlineLvl w:val="9"/>
        <w:rPr>
          <w:rFonts w:hint="eastAsia" w:ascii="仿宋_GB2312" w:hAnsi="仿宋_GB2312" w:eastAsia="仿宋_GB2312" w:cs="仿宋_GB2312"/>
          <w:bCs/>
          <w:color w:val="333333"/>
          <w:kern w:val="0"/>
          <w:sz w:val="32"/>
          <w:szCs w:val="32"/>
          <w:lang w:val="en-US" w:eastAsia="zh-CN"/>
        </w:rPr>
      </w:pPr>
      <w:r>
        <w:rPr>
          <w:rFonts w:hint="eastAsia" w:ascii="仿宋_GB2312" w:hAnsi="仿宋_GB2312" w:eastAsia="仿宋_GB2312" w:cs="仿宋_GB2312"/>
          <w:b/>
          <w:bCs w:val="0"/>
          <w:color w:val="333333"/>
          <w:kern w:val="0"/>
          <w:sz w:val="32"/>
          <w:szCs w:val="32"/>
          <w:lang w:val="en-US" w:eastAsia="zh-CN"/>
        </w:rPr>
        <w:t>（四）推进行政审批制度改革，加强政务服务“一网通办”。</w:t>
      </w:r>
      <w:r>
        <w:rPr>
          <w:rFonts w:hint="eastAsia" w:ascii="仿宋_GB2312" w:hAnsi="仿宋_GB2312" w:eastAsia="仿宋_GB2312" w:cs="仿宋_GB2312"/>
          <w:bCs/>
          <w:color w:val="333333"/>
          <w:kern w:val="0"/>
          <w:sz w:val="32"/>
          <w:szCs w:val="32"/>
          <w:lang w:val="en-US" w:eastAsia="zh-CN"/>
        </w:rPr>
        <w:t>一是持续精简行政审批事项。截止目前全市梳理保留行政许可事项256项，取消行政审批事项152项，暂缓实施行政审批事项86项。二是组织全市各部门开展行政许可事项目录清单编制工作，编制市级行政许可事项清单。三是大力推进“不见面”审批服务，扎实开展政务服务“一网通办”工作，加快线上线下深度融合，健全本级政务服务体系，80%以上的事项可在网上办理，打造综合窗口，推进实现“一窗”分类综合受理，全面提升政务服务“网上办”“一事通办”水平。截止目前，我市“网上办”事项共计733项，进驻政务服务大厅行政许可事项291项，网上可办284项，网办率97.6%。</w:t>
      </w: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0" w:firstLineChars="0"/>
        <w:jc w:val="left"/>
        <w:textAlignment w:val="auto"/>
        <w:outlineLvl w:val="9"/>
        <w:rPr>
          <w:rFonts w:hint="default" w:ascii="仿宋_GB2312" w:hAnsi="仿宋_GB2312" w:eastAsia="仿宋_GB2312" w:cs="仿宋_GB2312"/>
          <w:b/>
          <w:bCs w:val="0"/>
          <w:color w:val="333333"/>
          <w:kern w:val="0"/>
          <w:sz w:val="32"/>
          <w:szCs w:val="32"/>
        </w:rPr>
      </w:pPr>
      <w:r>
        <w:rPr>
          <w:rFonts w:hint="default" w:ascii="仿宋_GB2312" w:hAnsi="仿宋_GB2312" w:eastAsia="仿宋_GB2312" w:cs="仿宋_GB2312"/>
          <w:b/>
          <w:bCs w:val="0"/>
          <w:color w:val="333333"/>
          <w:kern w:val="0"/>
          <w:sz w:val="32"/>
          <w:szCs w:val="32"/>
        </w:rPr>
        <w:t>二、主动公开政府信息情况</w:t>
      </w:r>
    </w:p>
    <w:tbl>
      <w:tblPr>
        <w:tblStyle w:val="3"/>
        <w:tblW w:w="8220" w:type="dxa"/>
        <w:jc w:val="center"/>
        <w:tblLayout w:type="fixed"/>
        <w:tblCellMar>
          <w:top w:w="0" w:type="dxa"/>
          <w:left w:w="0" w:type="dxa"/>
          <w:bottom w:w="0" w:type="dxa"/>
          <w:right w:w="0" w:type="dxa"/>
        </w:tblCellMar>
      </w:tblPr>
      <w:tblGrid>
        <w:gridCol w:w="2853"/>
        <w:gridCol w:w="1718"/>
        <w:gridCol w:w="6"/>
        <w:gridCol w:w="1159"/>
        <w:gridCol w:w="2484"/>
      </w:tblGrid>
      <w:tr>
        <w:tblPrEx>
          <w:tblCellMar>
            <w:top w:w="0" w:type="dxa"/>
            <w:left w:w="0" w:type="dxa"/>
            <w:bottom w:w="0" w:type="dxa"/>
            <w:right w:w="0" w:type="dxa"/>
          </w:tblCellMar>
        </w:tblPrEx>
        <w:trPr>
          <w:trHeight w:val="495" w:hRule="atLeast"/>
          <w:jc w:val="center"/>
        </w:trPr>
        <w:tc>
          <w:tcPr>
            <w:tcW w:w="8220" w:type="dxa"/>
            <w:gridSpan w:val="5"/>
            <w:tcBorders>
              <w:top w:val="single" w:color="auto" w:sz="8" w:space="0"/>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第二十条第（一）项</w:t>
            </w:r>
          </w:p>
        </w:tc>
      </w:tr>
      <w:tr>
        <w:tblPrEx>
          <w:tblCellMar>
            <w:top w:w="0" w:type="dxa"/>
            <w:left w:w="0" w:type="dxa"/>
            <w:bottom w:w="0" w:type="dxa"/>
            <w:right w:w="0" w:type="dxa"/>
          </w:tblCellMar>
        </w:tblPrEx>
        <w:trPr>
          <w:trHeight w:val="522"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信息内容</w:t>
            </w:r>
          </w:p>
        </w:tc>
        <w:tc>
          <w:tcPr>
            <w:tcW w:w="171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本年新</w:t>
            </w:r>
            <w:r>
              <w:rPr>
                <w:rFonts w:hint="default" w:ascii="Times New Roman" w:hAnsi="Times New Roman" w:cs="Times New Roman"/>
                <w:color w:val="000000"/>
                <w:kern w:val="0"/>
                <w:sz w:val="20"/>
                <w:szCs w:val="20"/>
              </w:rPr>
              <w:br w:type="textWrapping"/>
            </w:r>
            <w:r>
              <w:rPr>
                <w:rFonts w:hint="default" w:ascii="Times New Roman" w:hAnsi="Times New Roman" w:cs="Times New Roman"/>
                <w:kern w:val="0"/>
                <w:sz w:val="20"/>
                <w:szCs w:val="20"/>
              </w:rPr>
              <w:t>制作数量</w:t>
            </w:r>
          </w:p>
        </w:tc>
        <w:tc>
          <w:tcPr>
            <w:tcW w:w="1165"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本年新</w:t>
            </w:r>
            <w:r>
              <w:rPr>
                <w:rFonts w:hint="default" w:ascii="Times New Roman" w:hAnsi="Times New Roman" w:cs="Times New Roman"/>
                <w:color w:val="000000"/>
                <w:kern w:val="0"/>
                <w:sz w:val="20"/>
                <w:szCs w:val="20"/>
              </w:rPr>
              <w:br w:type="textWrapping"/>
            </w:r>
            <w:r>
              <w:rPr>
                <w:rFonts w:hint="default" w:ascii="Times New Roman" w:hAnsi="Times New Roman" w:cs="Times New Roman"/>
                <w:kern w:val="0"/>
                <w:sz w:val="20"/>
                <w:szCs w:val="20"/>
              </w:rPr>
              <w:t>公开数量</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对外公开总数量</w:t>
            </w:r>
          </w:p>
        </w:tc>
      </w:tr>
      <w:tr>
        <w:tblPrEx>
          <w:tblCellMar>
            <w:top w:w="0" w:type="dxa"/>
            <w:left w:w="0" w:type="dxa"/>
            <w:bottom w:w="0" w:type="dxa"/>
            <w:right w:w="0" w:type="dxa"/>
          </w:tblCellMar>
        </w:tblPrEx>
        <w:trPr>
          <w:trHeight w:val="388"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规章</w:t>
            </w:r>
          </w:p>
        </w:tc>
        <w:tc>
          <w:tcPr>
            <w:tcW w:w="171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eastAsia" w:ascii="Times New Roman" w:hAnsi="Times New Roman" w:eastAsia="宋体" w:cs="Times New Roman"/>
                <w:kern w:val="0"/>
                <w:sz w:val="24"/>
                <w:lang w:val="en-US" w:eastAsia="zh-CN"/>
              </w:rPr>
            </w:pPr>
            <w:r>
              <w:rPr>
                <w:rFonts w:hint="default" w:ascii="Times New Roman" w:hAnsi="Times New Roman" w:cs="Times New Roman"/>
                <w:color w:val="000000"/>
                <w:kern w:val="0"/>
                <w:sz w:val="20"/>
                <w:szCs w:val="20"/>
              </w:rPr>
              <w:t>　　</w:t>
            </w:r>
            <w:r>
              <w:rPr>
                <w:rFonts w:hint="eastAsia" w:ascii="Times New Roman" w:hAnsi="Times New Roman" w:cs="Times New Roman"/>
                <w:color w:val="000000"/>
                <w:kern w:val="0"/>
                <w:sz w:val="20"/>
                <w:szCs w:val="20"/>
                <w:lang w:val="en-US" w:eastAsia="zh-CN"/>
              </w:rPr>
              <w:t>0</w:t>
            </w:r>
          </w:p>
        </w:tc>
        <w:tc>
          <w:tcPr>
            <w:tcW w:w="116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eastAsia" w:ascii="Times New Roman" w:hAnsi="Times New Roman" w:eastAsia="宋体" w:cs="Times New Roman"/>
                <w:kern w:val="0"/>
                <w:sz w:val="24"/>
                <w:lang w:val="en-US" w:eastAsia="zh-CN"/>
              </w:rPr>
            </w:pPr>
            <w:r>
              <w:rPr>
                <w:rFonts w:hint="default" w:ascii="Times New Roman" w:hAnsi="Times New Roman" w:cs="Times New Roman"/>
                <w:color w:val="000000"/>
                <w:kern w:val="0"/>
                <w:sz w:val="20"/>
                <w:szCs w:val="20"/>
              </w:rPr>
              <w:t> </w:t>
            </w:r>
            <w:r>
              <w:rPr>
                <w:rFonts w:hint="eastAsia" w:ascii="Times New Roman" w:hAnsi="Times New Roman" w:cs="Times New Roman"/>
                <w:color w:val="000000"/>
                <w:kern w:val="0"/>
                <w:sz w:val="20"/>
                <w:szCs w:val="20"/>
                <w:lang w:val="en-US" w:eastAsia="zh-CN"/>
              </w:rPr>
              <w:t>0</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eastAsia" w:ascii="Times New Roman" w:hAnsi="Times New Roman" w:eastAsia="宋体" w:cs="Times New Roman"/>
                <w:kern w:val="0"/>
                <w:sz w:val="24"/>
                <w:lang w:val="en-US" w:eastAsia="zh-CN"/>
              </w:rPr>
            </w:pPr>
            <w:r>
              <w:rPr>
                <w:rFonts w:hint="default" w:ascii="Times New Roman" w:hAnsi="Times New Roman" w:cs="Times New Roman"/>
                <w:color w:val="000000"/>
                <w:kern w:val="0"/>
                <w:sz w:val="20"/>
                <w:szCs w:val="20"/>
              </w:rPr>
              <w:t>　</w:t>
            </w:r>
            <w:r>
              <w:rPr>
                <w:rFonts w:hint="eastAsia" w:ascii="Times New Roman" w:hAnsi="Times New Roman" w:cs="Times New Roman"/>
                <w:color w:val="000000"/>
                <w:kern w:val="0"/>
                <w:sz w:val="20"/>
                <w:szCs w:val="20"/>
                <w:lang w:val="en-US" w:eastAsia="zh-CN"/>
              </w:rPr>
              <w:t>0</w:t>
            </w:r>
          </w:p>
        </w:tc>
      </w:tr>
      <w:tr>
        <w:tblPrEx>
          <w:tblCellMar>
            <w:top w:w="0" w:type="dxa"/>
            <w:left w:w="0" w:type="dxa"/>
            <w:bottom w:w="0" w:type="dxa"/>
            <w:right w:w="0" w:type="dxa"/>
          </w:tblCellMar>
        </w:tblPrEx>
        <w:trPr>
          <w:trHeight w:val="471"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规范性文件</w:t>
            </w:r>
          </w:p>
        </w:tc>
        <w:tc>
          <w:tcPr>
            <w:tcW w:w="171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eastAsia" w:ascii="Times New Roman" w:hAnsi="Times New Roman" w:eastAsia="宋体" w:cs="Times New Roman"/>
                <w:kern w:val="0"/>
                <w:sz w:val="24"/>
                <w:lang w:val="en-US" w:eastAsia="zh-CN"/>
              </w:rPr>
            </w:pPr>
            <w:r>
              <w:rPr>
                <w:rFonts w:hint="default" w:ascii="Times New Roman" w:hAnsi="Times New Roman" w:cs="Times New Roman"/>
                <w:color w:val="000000"/>
                <w:kern w:val="0"/>
                <w:sz w:val="20"/>
                <w:szCs w:val="20"/>
              </w:rPr>
              <w:t>　　</w:t>
            </w:r>
            <w:r>
              <w:rPr>
                <w:rFonts w:hint="eastAsia" w:ascii="Times New Roman" w:hAnsi="Times New Roman" w:cs="Times New Roman"/>
                <w:color w:val="000000"/>
                <w:kern w:val="0"/>
                <w:sz w:val="20"/>
                <w:szCs w:val="20"/>
                <w:lang w:val="en-US" w:eastAsia="zh-CN"/>
              </w:rPr>
              <w:t>4</w:t>
            </w:r>
          </w:p>
        </w:tc>
        <w:tc>
          <w:tcPr>
            <w:tcW w:w="116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eastAsia" w:ascii="Times New Roman" w:hAnsi="Times New Roman" w:eastAsia="宋体" w:cs="Times New Roman"/>
                <w:kern w:val="0"/>
                <w:sz w:val="24"/>
                <w:lang w:val="en-US" w:eastAsia="zh-CN"/>
              </w:rPr>
            </w:pPr>
            <w:r>
              <w:rPr>
                <w:rFonts w:hint="default" w:ascii="Times New Roman" w:hAnsi="Times New Roman" w:cs="Times New Roman"/>
                <w:color w:val="000000"/>
                <w:kern w:val="0"/>
                <w:sz w:val="20"/>
                <w:szCs w:val="20"/>
              </w:rPr>
              <w:t> </w:t>
            </w:r>
            <w:r>
              <w:rPr>
                <w:rFonts w:hint="eastAsia" w:ascii="Times New Roman" w:hAnsi="Times New Roman" w:cs="Times New Roman"/>
                <w:color w:val="000000"/>
                <w:kern w:val="0"/>
                <w:sz w:val="20"/>
                <w:szCs w:val="20"/>
                <w:lang w:val="en-US" w:eastAsia="zh-CN"/>
              </w:rPr>
              <w:t>4</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eastAsia" w:ascii="Times New Roman" w:hAnsi="Times New Roman" w:eastAsia="宋体" w:cs="Times New Roman"/>
                <w:kern w:val="0"/>
                <w:sz w:val="24"/>
                <w:lang w:val="en-US" w:eastAsia="zh-CN"/>
              </w:rPr>
            </w:pPr>
            <w:r>
              <w:rPr>
                <w:rFonts w:hint="default" w:ascii="Times New Roman" w:hAnsi="Times New Roman" w:cs="Times New Roman"/>
                <w:color w:val="000000"/>
                <w:kern w:val="0"/>
                <w:sz w:val="20"/>
                <w:szCs w:val="20"/>
              </w:rPr>
              <w:t>　</w:t>
            </w:r>
            <w:r>
              <w:rPr>
                <w:rFonts w:hint="eastAsia" w:ascii="Times New Roman" w:hAnsi="Times New Roman" w:cs="Times New Roman"/>
                <w:color w:val="000000"/>
                <w:kern w:val="0"/>
                <w:sz w:val="20"/>
                <w:szCs w:val="20"/>
                <w:lang w:val="en-US" w:eastAsia="zh-CN"/>
              </w:rPr>
              <w:t>4</w:t>
            </w:r>
          </w:p>
        </w:tc>
      </w:tr>
      <w:tr>
        <w:tblPrEx>
          <w:tblCellMar>
            <w:top w:w="0" w:type="dxa"/>
            <w:left w:w="0" w:type="dxa"/>
            <w:bottom w:w="0" w:type="dxa"/>
            <w:right w:w="0" w:type="dxa"/>
          </w:tblCellMar>
        </w:tblPrEx>
        <w:trPr>
          <w:trHeight w:val="360" w:hRule="atLeast"/>
          <w:jc w:val="center"/>
        </w:trPr>
        <w:tc>
          <w:tcPr>
            <w:tcW w:w="822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第二十条第（五）项</w:t>
            </w:r>
          </w:p>
        </w:tc>
      </w:tr>
      <w:tr>
        <w:tblPrEx>
          <w:tblCellMar>
            <w:top w:w="0" w:type="dxa"/>
            <w:left w:w="0" w:type="dxa"/>
            <w:bottom w:w="0" w:type="dxa"/>
            <w:right w:w="0" w:type="dxa"/>
          </w:tblCellMar>
        </w:tblPrEx>
        <w:trPr>
          <w:trHeight w:val="634"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信息内容</w:t>
            </w:r>
          </w:p>
        </w:tc>
        <w:tc>
          <w:tcPr>
            <w:tcW w:w="171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上一年项目数量</w:t>
            </w:r>
          </w:p>
        </w:tc>
        <w:tc>
          <w:tcPr>
            <w:tcW w:w="1165"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本年增/减</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处理决定数量</w:t>
            </w:r>
          </w:p>
        </w:tc>
      </w:tr>
      <w:tr>
        <w:tblPrEx>
          <w:tblCellMar>
            <w:top w:w="0" w:type="dxa"/>
            <w:left w:w="0" w:type="dxa"/>
            <w:bottom w:w="0" w:type="dxa"/>
            <w:right w:w="0" w:type="dxa"/>
          </w:tblCellMar>
        </w:tblPrEx>
        <w:trPr>
          <w:trHeight w:val="528"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行政许可</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256</w:t>
            </w:r>
          </w:p>
        </w:tc>
        <w:tc>
          <w:tcPr>
            <w:tcW w:w="11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0</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256</w:t>
            </w:r>
          </w:p>
        </w:tc>
      </w:tr>
      <w:tr>
        <w:tblPrEx>
          <w:tblCellMar>
            <w:top w:w="0" w:type="dxa"/>
            <w:left w:w="0" w:type="dxa"/>
            <w:bottom w:w="0" w:type="dxa"/>
            <w:right w:w="0" w:type="dxa"/>
          </w:tblCellMar>
        </w:tblPrEx>
        <w:trPr>
          <w:trHeight w:val="400"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其他对外管理服务事项</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2</w:t>
            </w:r>
          </w:p>
        </w:tc>
        <w:tc>
          <w:tcPr>
            <w:tcW w:w="11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1</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3</w:t>
            </w:r>
          </w:p>
        </w:tc>
      </w:tr>
      <w:tr>
        <w:tblPrEx>
          <w:tblCellMar>
            <w:top w:w="0" w:type="dxa"/>
            <w:left w:w="0" w:type="dxa"/>
            <w:bottom w:w="0" w:type="dxa"/>
            <w:right w:w="0" w:type="dxa"/>
          </w:tblCellMar>
        </w:tblPrEx>
        <w:trPr>
          <w:trHeight w:val="406" w:hRule="atLeast"/>
          <w:jc w:val="center"/>
        </w:trPr>
        <w:tc>
          <w:tcPr>
            <w:tcW w:w="822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第二十条第（六）项</w:t>
            </w:r>
          </w:p>
        </w:tc>
      </w:tr>
      <w:tr>
        <w:tblPrEx>
          <w:tblCellMar>
            <w:top w:w="0" w:type="dxa"/>
            <w:left w:w="0" w:type="dxa"/>
            <w:bottom w:w="0" w:type="dxa"/>
            <w:right w:w="0" w:type="dxa"/>
          </w:tblCellMar>
        </w:tblPrEx>
        <w:trPr>
          <w:trHeight w:val="634"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信息内容</w:t>
            </w:r>
          </w:p>
        </w:tc>
        <w:tc>
          <w:tcPr>
            <w:tcW w:w="171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上一年项目数量</w:t>
            </w:r>
          </w:p>
        </w:tc>
        <w:tc>
          <w:tcPr>
            <w:tcW w:w="1165"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本年增/减</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处理决定数量</w:t>
            </w:r>
          </w:p>
        </w:tc>
      </w:tr>
      <w:tr>
        <w:tblPrEx>
          <w:tblCellMar>
            <w:top w:w="0" w:type="dxa"/>
            <w:left w:w="0" w:type="dxa"/>
            <w:bottom w:w="0" w:type="dxa"/>
            <w:right w:w="0" w:type="dxa"/>
          </w:tblCellMar>
        </w:tblPrEx>
        <w:trPr>
          <w:trHeight w:val="430"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行政处罚</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宋体" w:hAnsi="宋体" w:cs="宋体"/>
                <w:color w:val="000000"/>
                <w:kern w:val="0"/>
                <w:sz w:val="20"/>
                <w:szCs w:val="20"/>
                <w:lang w:val="en-US" w:eastAsia="zh-CN"/>
              </w:rPr>
              <w:t>108</w:t>
            </w:r>
          </w:p>
        </w:tc>
        <w:tc>
          <w:tcPr>
            <w:tcW w:w="11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rPr>
              <w:t>增612</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cs="宋体"/>
                <w:color w:val="000000"/>
                <w:kern w:val="0"/>
                <w:sz w:val="20"/>
                <w:szCs w:val="20"/>
                <w:lang w:val="en-US" w:eastAsia="zh-CN"/>
              </w:rPr>
              <w:t>720</w:t>
            </w:r>
          </w:p>
        </w:tc>
      </w:tr>
      <w:tr>
        <w:tblPrEx>
          <w:tblCellMar>
            <w:top w:w="0" w:type="dxa"/>
            <w:left w:w="0" w:type="dxa"/>
            <w:bottom w:w="0" w:type="dxa"/>
            <w:right w:w="0" w:type="dxa"/>
          </w:tblCellMar>
        </w:tblPrEx>
        <w:trPr>
          <w:trHeight w:val="259"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行政强制</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宋体" w:hAnsi="宋体" w:cs="宋体"/>
                <w:color w:val="000000"/>
                <w:kern w:val="0"/>
                <w:sz w:val="20"/>
                <w:szCs w:val="20"/>
                <w:lang w:val="en-US" w:eastAsia="zh-CN"/>
              </w:rPr>
              <w:t>15</w:t>
            </w:r>
          </w:p>
        </w:tc>
        <w:tc>
          <w:tcPr>
            <w:tcW w:w="11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cs="宋体"/>
                <w:kern w:val="0"/>
                <w:sz w:val="24"/>
                <w:szCs w:val="24"/>
                <w:lang w:eastAsia="zh-CN"/>
              </w:rPr>
              <w:t>增</w:t>
            </w:r>
            <w:r>
              <w:rPr>
                <w:rFonts w:hint="eastAsia" w:ascii="宋体" w:hAnsi="宋体" w:cs="宋体"/>
                <w:kern w:val="0"/>
                <w:sz w:val="24"/>
                <w:szCs w:val="24"/>
                <w:lang w:val="en-US" w:eastAsia="zh-CN"/>
              </w:rPr>
              <w:t>27</w:t>
            </w:r>
          </w:p>
        </w:tc>
        <w:tc>
          <w:tcPr>
            <w:tcW w:w="24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宋体" w:hAnsi="宋体" w:eastAsia="宋体" w:cs="宋体"/>
                <w:kern w:val="0"/>
                <w:sz w:val="24"/>
                <w:szCs w:val="24"/>
                <w:lang w:val="en-US" w:eastAsia="zh-CN" w:bidi="ar-SA"/>
              </w:rPr>
            </w:pPr>
            <w:r>
              <w:rPr>
                <w:rFonts w:hint="eastAsia" w:ascii="宋体" w:hAnsi="宋体" w:cs="宋体"/>
                <w:color w:val="000000"/>
                <w:kern w:val="0"/>
                <w:sz w:val="20"/>
                <w:szCs w:val="20"/>
                <w:lang w:val="en-US" w:eastAsia="zh-CN"/>
              </w:rPr>
              <w:t>42</w:t>
            </w:r>
          </w:p>
        </w:tc>
      </w:tr>
      <w:tr>
        <w:tblPrEx>
          <w:tblCellMar>
            <w:top w:w="0" w:type="dxa"/>
            <w:left w:w="0" w:type="dxa"/>
            <w:bottom w:w="0" w:type="dxa"/>
            <w:right w:w="0" w:type="dxa"/>
          </w:tblCellMar>
        </w:tblPrEx>
        <w:trPr>
          <w:trHeight w:val="474" w:hRule="atLeast"/>
          <w:jc w:val="center"/>
        </w:trPr>
        <w:tc>
          <w:tcPr>
            <w:tcW w:w="822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第二十条第（八）项</w:t>
            </w:r>
          </w:p>
        </w:tc>
      </w:tr>
      <w:tr>
        <w:tblPrEx>
          <w:tblCellMar>
            <w:top w:w="0" w:type="dxa"/>
            <w:left w:w="0" w:type="dxa"/>
            <w:bottom w:w="0" w:type="dxa"/>
            <w:right w:w="0" w:type="dxa"/>
          </w:tblCellMar>
        </w:tblPrEx>
        <w:trPr>
          <w:trHeight w:val="270"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信息内容</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上一年项目数量</w:t>
            </w:r>
          </w:p>
        </w:tc>
        <w:tc>
          <w:tcPr>
            <w:tcW w:w="3643" w:type="dxa"/>
            <w:gridSpan w:val="2"/>
            <w:tcBorders>
              <w:top w:val="single" w:color="auto" w:sz="8" w:space="0"/>
              <w:left w:val="nil"/>
              <w:bottom w:val="single" w:color="auto" w:sz="8" w:space="0"/>
              <w:right w:val="single" w:color="000000"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本年增/减</w:t>
            </w:r>
          </w:p>
        </w:tc>
      </w:tr>
      <w:tr>
        <w:tblPrEx>
          <w:tblCellMar>
            <w:top w:w="0" w:type="dxa"/>
            <w:left w:w="0" w:type="dxa"/>
            <w:bottom w:w="0" w:type="dxa"/>
            <w:right w:w="0" w:type="dxa"/>
          </w:tblCellMar>
        </w:tblPrEx>
        <w:trPr>
          <w:trHeight w:val="551"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行政事业性收费</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15</w:t>
            </w:r>
          </w:p>
        </w:tc>
        <w:tc>
          <w:tcPr>
            <w:tcW w:w="3643" w:type="dxa"/>
            <w:gridSpan w:val="2"/>
            <w:tcBorders>
              <w:top w:val="nil"/>
              <w:left w:val="nil"/>
              <w:bottom w:val="single" w:color="auto" w:sz="8" w:space="0"/>
              <w:right w:val="single" w:color="000000" w:sz="8" w:space="0"/>
            </w:tcBorders>
            <w:noWrap w:val="0"/>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增3</w:t>
            </w:r>
          </w:p>
        </w:tc>
      </w:tr>
      <w:tr>
        <w:tblPrEx>
          <w:tblCellMar>
            <w:top w:w="0" w:type="dxa"/>
            <w:left w:w="0" w:type="dxa"/>
            <w:bottom w:w="0" w:type="dxa"/>
            <w:right w:w="0" w:type="dxa"/>
          </w:tblCellMar>
        </w:tblPrEx>
        <w:trPr>
          <w:trHeight w:val="476" w:hRule="atLeast"/>
          <w:jc w:val="center"/>
        </w:trPr>
        <w:tc>
          <w:tcPr>
            <w:tcW w:w="822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第二十条第（九）项</w:t>
            </w:r>
          </w:p>
        </w:tc>
      </w:tr>
      <w:tr>
        <w:tblPrEx>
          <w:tblCellMar>
            <w:top w:w="0" w:type="dxa"/>
            <w:left w:w="0" w:type="dxa"/>
            <w:bottom w:w="0" w:type="dxa"/>
            <w:right w:w="0" w:type="dxa"/>
          </w:tblCellMar>
        </w:tblPrEx>
        <w:trPr>
          <w:trHeight w:val="585"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信息内容</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采购项目数量</w:t>
            </w:r>
          </w:p>
        </w:tc>
        <w:tc>
          <w:tcPr>
            <w:tcW w:w="3643" w:type="dxa"/>
            <w:gridSpan w:val="2"/>
            <w:tcBorders>
              <w:top w:val="single" w:color="auto" w:sz="8" w:space="0"/>
              <w:left w:val="nil"/>
              <w:bottom w:val="single" w:color="auto" w:sz="8" w:space="0"/>
              <w:right w:val="single" w:color="000000"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采购总金额</w:t>
            </w:r>
          </w:p>
        </w:tc>
      </w:tr>
      <w:tr>
        <w:tblPrEx>
          <w:tblCellMar>
            <w:top w:w="0" w:type="dxa"/>
            <w:left w:w="0" w:type="dxa"/>
            <w:bottom w:w="0" w:type="dxa"/>
            <w:right w:w="0" w:type="dxa"/>
          </w:tblCellMar>
        </w:tblPrEx>
        <w:trPr>
          <w:trHeight w:val="539" w:hRule="atLeast"/>
          <w:jc w:val="center"/>
        </w:trPr>
        <w:tc>
          <w:tcPr>
            <w:tcW w:w="28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color w:val="000000"/>
                <w:kern w:val="0"/>
                <w:sz w:val="20"/>
                <w:szCs w:val="20"/>
              </w:rPr>
              <w:t>政府集中采购</w:t>
            </w:r>
          </w:p>
        </w:tc>
        <w:tc>
          <w:tcPr>
            <w:tcW w:w="172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lang w:val="en-US" w:eastAsia="zh-CN"/>
              </w:rPr>
            </w:pPr>
            <w:r>
              <w:rPr>
                <w:rFonts w:hint="eastAsia" w:ascii="Times New Roman" w:hAnsi="Times New Roman" w:cs="Times New Roman"/>
                <w:color w:val="000000"/>
                <w:kern w:val="0"/>
                <w:sz w:val="20"/>
                <w:szCs w:val="20"/>
                <w:lang w:val="en-US" w:eastAsia="zh-CN"/>
              </w:rPr>
              <w:t>136</w:t>
            </w:r>
          </w:p>
        </w:tc>
        <w:tc>
          <w:tcPr>
            <w:tcW w:w="3643" w:type="dxa"/>
            <w:gridSpan w:val="2"/>
            <w:tcBorders>
              <w:top w:val="nil"/>
              <w:left w:val="nil"/>
              <w:bottom w:val="single" w:color="auto" w:sz="8" w:space="0"/>
              <w:right w:val="single" w:color="000000" w:sz="8" w:space="0"/>
            </w:tcBorders>
            <w:noWrap w:val="0"/>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49164880</w:t>
            </w:r>
          </w:p>
        </w:tc>
      </w:tr>
    </w:tbl>
    <w:p>
      <w:pPr>
        <w:widowControl/>
        <w:shd w:val="clear" w:color="auto" w:fill="FFFFFF"/>
        <w:ind w:firstLine="480"/>
        <w:rPr>
          <w:rFonts w:hint="default" w:ascii="Times New Roman" w:hAnsi="Times New Roman" w:cs="Times New Roman"/>
          <w:color w:val="333333"/>
          <w:kern w:val="0"/>
          <w:sz w:val="24"/>
        </w:rPr>
      </w:pP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0" w:firstLineChars="0"/>
        <w:jc w:val="left"/>
        <w:textAlignment w:val="auto"/>
        <w:outlineLvl w:val="9"/>
        <w:rPr>
          <w:rFonts w:hint="default" w:ascii="仿宋_GB2312" w:hAnsi="仿宋_GB2312" w:eastAsia="仿宋_GB2312" w:cs="仿宋_GB2312"/>
          <w:b/>
          <w:bCs w:val="0"/>
          <w:color w:val="333333"/>
          <w:kern w:val="0"/>
          <w:sz w:val="32"/>
          <w:szCs w:val="32"/>
        </w:rPr>
      </w:pPr>
      <w:r>
        <w:rPr>
          <w:rFonts w:hint="default" w:ascii="仿宋_GB2312" w:hAnsi="仿宋_GB2312" w:eastAsia="仿宋_GB2312" w:cs="仿宋_GB2312"/>
          <w:b/>
          <w:bCs w:val="0"/>
          <w:color w:val="333333"/>
          <w:kern w:val="0"/>
          <w:sz w:val="32"/>
          <w:szCs w:val="32"/>
        </w:rPr>
        <w:t>三、收到和处理政府信息公开申请情况</w:t>
      </w:r>
    </w:p>
    <w:tbl>
      <w:tblPr>
        <w:tblStyle w:val="3"/>
        <w:tblW w:w="8220" w:type="dxa"/>
        <w:jc w:val="center"/>
        <w:tblLayout w:type="fixed"/>
        <w:tblCellMar>
          <w:top w:w="0" w:type="dxa"/>
          <w:left w:w="0" w:type="dxa"/>
          <w:bottom w:w="0" w:type="dxa"/>
          <w:right w:w="0" w:type="dxa"/>
        </w:tblCellMar>
      </w:tblPr>
      <w:tblGrid>
        <w:gridCol w:w="746"/>
        <w:gridCol w:w="44"/>
        <w:gridCol w:w="762"/>
        <w:gridCol w:w="1806"/>
        <w:gridCol w:w="706"/>
        <w:gridCol w:w="15"/>
        <w:gridCol w:w="649"/>
        <w:gridCol w:w="15"/>
        <w:gridCol w:w="649"/>
        <w:gridCol w:w="15"/>
        <w:gridCol w:w="698"/>
        <w:gridCol w:w="15"/>
        <w:gridCol w:w="831"/>
        <w:gridCol w:w="14"/>
        <w:gridCol w:w="613"/>
        <w:gridCol w:w="15"/>
        <w:gridCol w:w="627"/>
      </w:tblGrid>
      <w:tr>
        <w:tblPrEx>
          <w:tblCellMar>
            <w:top w:w="0" w:type="dxa"/>
            <w:left w:w="0" w:type="dxa"/>
            <w:bottom w:w="0" w:type="dxa"/>
            <w:right w:w="0" w:type="dxa"/>
          </w:tblCellMar>
        </w:tblPrEx>
        <w:trPr>
          <w:trHeight w:val="0" w:hRule="atLeast"/>
          <w:jc w:val="center"/>
        </w:trPr>
        <w:tc>
          <w:tcPr>
            <w:tcW w:w="3358" w:type="dxa"/>
            <w:gridSpan w:val="4"/>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（本列数据的勾稽关系为：第一项加第二项之和，等于第三项加第四项之和）</w:t>
            </w:r>
          </w:p>
        </w:tc>
        <w:tc>
          <w:tcPr>
            <w:tcW w:w="4862" w:type="dxa"/>
            <w:gridSpan w:val="1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申请人情况</w:t>
            </w:r>
          </w:p>
        </w:tc>
      </w:tr>
      <w:tr>
        <w:tblPrEx>
          <w:tblCellMar>
            <w:top w:w="0" w:type="dxa"/>
            <w:left w:w="0" w:type="dxa"/>
            <w:bottom w:w="0" w:type="dxa"/>
            <w:right w:w="0" w:type="dxa"/>
          </w:tblCellMar>
        </w:tblPrEx>
        <w:trPr>
          <w:trHeight w:val="0" w:hRule="atLeast"/>
          <w:jc w:val="center"/>
        </w:trPr>
        <w:tc>
          <w:tcPr>
            <w:tcW w:w="3358" w:type="dxa"/>
            <w:gridSpan w:val="4"/>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706" w:type="dxa"/>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自然人</w:t>
            </w:r>
          </w:p>
        </w:tc>
        <w:tc>
          <w:tcPr>
            <w:tcW w:w="3514" w:type="dxa"/>
            <w:gridSpan w:val="10"/>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法人或其他组织</w:t>
            </w:r>
          </w:p>
        </w:tc>
        <w:tc>
          <w:tcPr>
            <w:tcW w:w="642" w:type="dxa"/>
            <w:gridSpan w:val="2"/>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总计</w:t>
            </w:r>
          </w:p>
        </w:tc>
      </w:tr>
      <w:tr>
        <w:tblPrEx>
          <w:tblCellMar>
            <w:top w:w="0" w:type="dxa"/>
            <w:left w:w="0" w:type="dxa"/>
            <w:bottom w:w="0" w:type="dxa"/>
            <w:right w:w="0" w:type="dxa"/>
          </w:tblCellMar>
        </w:tblPrEx>
        <w:trPr>
          <w:trHeight w:val="0" w:hRule="atLeast"/>
          <w:jc w:val="center"/>
        </w:trPr>
        <w:tc>
          <w:tcPr>
            <w:tcW w:w="3358" w:type="dxa"/>
            <w:gridSpan w:val="4"/>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706" w:type="dxa"/>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商业企业</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科研机构</w:t>
            </w:r>
          </w:p>
        </w:tc>
        <w:tc>
          <w:tcPr>
            <w:tcW w:w="713"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社会公益组织</w:t>
            </w:r>
          </w:p>
        </w:tc>
        <w:tc>
          <w:tcPr>
            <w:tcW w:w="846"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法律服务机构</w:t>
            </w:r>
          </w:p>
        </w:tc>
        <w:tc>
          <w:tcPr>
            <w:tcW w:w="627"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其他</w:t>
            </w:r>
          </w:p>
        </w:tc>
        <w:tc>
          <w:tcPr>
            <w:tcW w:w="642" w:type="dxa"/>
            <w:gridSpan w:val="2"/>
            <w:vMerge w:val="continue"/>
            <w:tcBorders>
              <w:top w:val="single" w:color="auto" w:sz="8" w:space="0"/>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r>
      <w:tr>
        <w:tblPrEx>
          <w:tblCellMar>
            <w:top w:w="0" w:type="dxa"/>
            <w:left w:w="0" w:type="dxa"/>
            <w:bottom w:w="0" w:type="dxa"/>
            <w:right w:w="0" w:type="dxa"/>
          </w:tblCellMar>
        </w:tblPrEx>
        <w:trPr>
          <w:trHeight w:val="0" w:hRule="atLeast"/>
          <w:jc w:val="center"/>
        </w:trPr>
        <w:tc>
          <w:tcPr>
            <w:tcW w:w="3358" w:type="dxa"/>
            <w:gridSpan w:val="4"/>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kern w:val="0"/>
                <w:sz w:val="20"/>
                <w:szCs w:val="20"/>
              </w:rPr>
              <w:t>一、本年新收政府信息公开申请数量</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0</w:t>
            </w:r>
          </w:p>
        </w:tc>
      </w:tr>
      <w:tr>
        <w:tblPrEx>
          <w:tblCellMar>
            <w:top w:w="0" w:type="dxa"/>
            <w:left w:w="0" w:type="dxa"/>
            <w:bottom w:w="0" w:type="dxa"/>
            <w:right w:w="0" w:type="dxa"/>
          </w:tblCellMar>
        </w:tblPrEx>
        <w:trPr>
          <w:trHeight w:val="0" w:hRule="atLeast"/>
          <w:jc w:val="center"/>
        </w:trPr>
        <w:tc>
          <w:tcPr>
            <w:tcW w:w="3358" w:type="dxa"/>
            <w:gridSpan w:val="4"/>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kern w:val="0"/>
                <w:sz w:val="20"/>
                <w:szCs w:val="20"/>
              </w:rPr>
              <w:t>二、上年结转政府信息公开申请数量</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0</w:t>
            </w:r>
          </w:p>
        </w:tc>
      </w:tr>
      <w:tr>
        <w:tblPrEx>
          <w:tblCellMar>
            <w:top w:w="0" w:type="dxa"/>
            <w:left w:w="0" w:type="dxa"/>
            <w:bottom w:w="0" w:type="dxa"/>
            <w:right w:w="0" w:type="dxa"/>
          </w:tblCellMar>
        </w:tblPrEx>
        <w:trPr>
          <w:trHeight w:val="0" w:hRule="atLeast"/>
          <w:jc w:val="center"/>
        </w:trPr>
        <w:tc>
          <w:tcPr>
            <w:tcW w:w="790" w:type="dxa"/>
            <w:gridSpan w:val="2"/>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三、本年度办理结果</w:t>
            </w:r>
          </w:p>
        </w:tc>
        <w:tc>
          <w:tcPr>
            <w:tcW w:w="2568"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（一）予以公开</w:t>
            </w:r>
          </w:p>
        </w:tc>
        <w:tc>
          <w:tcPr>
            <w:tcW w:w="72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8"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restart"/>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2612" w:type="dxa"/>
            <w:gridSpan w:val="3"/>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（二）部分公开（区分处理的，只计这一情形，不计其他情形）</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（三）不予公开</w:t>
            </w: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1.属于国家秘密</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2.其他法律行政法规禁止公开</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3.危及“三安全一稳定”</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4.保护第三方合法权益</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5.属于三类内部事务信息</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6.属于四类过程性信息</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7.属于行政执法案卷</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8.属于行政查询事项</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（四）无法提供</w:t>
            </w: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1.本机关不掌握相关政府信息</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2.没有现成信息需要另行制作</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3.补正后申请内容仍不明确</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（五）不予处理</w:t>
            </w: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1.信访举报投诉类申请</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2.重复申请</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3.要求提供公开出版物</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4.无正当理由大量反复申请</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806" w:type="dxa"/>
            <w:gridSpan w:val="2"/>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18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5.要求行政机关确认或重新出具已获取信息</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2612" w:type="dxa"/>
            <w:gridSpan w:val="3"/>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（六）其他处理</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p>
        </w:tc>
      </w:tr>
      <w:tr>
        <w:tblPrEx>
          <w:tblCellMar>
            <w:top w:w="0" w:type="dxa"/>
            <w:left w:w="0" w:type="dxa"/>
            <w:bottom w:w="0" w:type="dxa"/>
            <w:right w:w="0" w:type="dxa"/>
          </w:tblCellMar>
        </w:tblPrEx>
        <w:trPr>
          <w:trHeight w:val="0" w:hRule="atLeast"/>
          <w:jc w:val="center"/>
        </w:trPr>
        <w:tc>
          <w:tcPr>
            <w:tcW w:w="746"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2612" w:type="dxa"/>
            <w:gridSpan w:val="3"/>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eastAsia="楷体" w:cs="Times New Roman"/>
                <w:kern w:val="0"/>
                <w:sz w:val="20"/>
                <w:szCs w:val="20"/>
              </w:rPr>
              <w:t>（七）总计</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Times New Roman" w:hAnsi="Times New Roman" w:cs="Times New Roman"/>
                <w:kern w:val="0"/>
                <w:sz w:val="20"/>
                <w:szCs w:val="20"/>
                <w:lang w:val="en-US" w:eastAsia="zh-CN"/>
              </w:rPr>
              <w:t>0</w:t>
            </w: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Times New Roman" w:hAnsi="Times New Roman" w:cs="Times New Roman"/>
                <w:kern w:val="0"/>
                <w:sz w:val="20"/>
                <w:szCs w:val="20"/>
                <w:lang w:val="en-US" w:eastAsia="zh-CN"/>
              </w:rPr>
              <w:t>0</w:t>
            </w: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Times New Roman" w:hAnsi="Times New Roman" w:cs="Times New Roman"/>
                <w:kern w:val="0"/>
                <w:sz w:val="20"/>
                <w:szCs w:val="20"/>
                <w:lang w:val="en-US" w:eastAsia="zh-CN"/>
              </w:rPr>
              <w:t>0</w:t>
            </w: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r>
      <w:tr>
        <w:tblPrEx>
          <w:tblCellMar>
            <w:top w:w="0" w:type="dxa"/>
            <w:left w:w="0" w:type="dxa"/>
            <w:bottom w:w="0" w:type="dxa"/>
            <w:right w:w="0" w:type="dxa"/>
          </w:tblCellMar>
        </w:tblPrEx>
        <w:trPr>
          <w:trHeight w:val="0" w:hRule="atLeast"/>
          <w:jc w:val="center"/>
        </w:trPr>
        <w:tc>
          <w:tcPr>
            <w:tcW w:w="3358" w:type="dxa"/>
            <w:gridSpan w:val="4"/>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hint="default" w:ascii="Times New Roman" w:hAnsi="Times New Roman" w:cs="Times New Roman"/>
                <w:kern w:val="0"/>
                <w:sz w:val="24"/>
              </w:rPr>
            </w:pPr>
            <w:r>
              <w:rPr>
                <w:rFonts w:hint="default" w:ascii="Times New Roman" w:hAnsi="Times New Roman" w:cs="Times New Roman"/>
                <w:kern w:val="0"/>
                <w:sz w:val="20"/>
                <w:szCs w:val="20"/>
              </w:rPr>
              <w:t>四、结转下年度继续办理</w:t>
            </w:r>
          </w:p>
        </w:tc>
        <w:tc>
          <w:tcPr>
            <w:tcW w:w="7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Times New Roman" w:hAnsi="Times New Roman" w:cs="Times New Roman"/>
                <w:kern w:val="0"/>
                <w:sz w:val="20"/>
                <w:szCs w:val="20"/>
                <w:lang w:val="en-US" w:eastAsia="zh-CN"/>
              </w:rPr>
              <w:t>0</w:t>
            </w:r>
            <w:r>
              <w:rPr>
                <w:rFonts w:hint="default" w:ascii="Times New Roman" w:hAnsi="Times New Roman" w:cs="Times New Roman"/>
                <w:kern w:val="0"/>
                <w:sz w:val="20"/>
                <w:szCs w:val="20"/>
              </w:rPr>
              <w:t> </w:t>
            </w:r>
          </w:p>
        </w:tc>
        <w:tc>
          <w:tcPr>
            <w:tcW w:w="66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71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Times New Roman" w:hAnsi="Times New Roman" w:cs="Times New Roman"/>
                <w:kern w:val="0"/>
                <w:sz w:val="20"/>
                <w:szCs w:val="20"/>
                <w:lang w:val="en-US" w:eastAsia="zh-CN"/>
              </w:rPr>
              <w:t>0</w:t>
            </w:r>
            <w:r>
              <w:rPr>
                <w:rFonts w:hint="default" w:ascii="Times New Roman" w:hAnsi="Times New Roman" w:cs="Times New Roman"/>
                <w:kern w:val="0"/>
                <w:sz w:val="20"/>
                <w:szCs w:val="20"/>
              </w:rPr>
              <w:t> </w:t>
            </w:r>
          </w:p>
        </w:tc>
        <w:tc>
          <w:tcPr>
            <w:tcW w:w="846"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627"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eastAsia" w:ascii="Times New Roman" w:hAnsi="Times New Roman" w:cs="Times New Roman"/>
                <w:kern w:val="0"/>
                <w:sz w:val="20"/>
                <w:szCs w:val="20"/>
                <w:lang w:val="en-US" w:eastAsia="zh-CN"/>
              </w:rPr>
              <w:t>0</w:t>
            </w:r>
            <w:r>
              <w:rPr>
                <w:rFonts w:hint="default" w:ascii="Times New Roman" w:hAnsi="Times New Roman" w:cs="Times New Roman"/>
                <w:kern w:val="0"/>
                <w:sz w:val="20"/>
                <w:szCs w:val="20"/>
              </w:rPr>
              <w:t> </w:t>
            </w:r>
          </w:p>
        </w:tc>
        <w:tc>
          <w:tcPr>
            <w:tcW w:w="642"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r>
    </w:tbl>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0" w:firstLineChars="0"/>
        <w:jc w:val="left"/>
        <w:textAlignment w:val="auto"/>
        <w:outlineLvl w:val="9"/>
        <w:rPr>
          <w:rFonts w:hint="default" w:ascii="仿宋_GB2312" w:hAnsi="仿宋_GB2312" w:eastAsia="仿宋_GB2312" w:cs="仿宋_GB2312"/>
          <w:b/>
          <w:bCs w:val="0"/>
          <w:color w:val="333333"/>
          <w:kern w:val="0"/>
          <w:sz w:val="32"/>
          <w:szCs w:val="32"/>
        </w:rPr>
      </w:pPr>
      <w:r>
        <w:rPr>
          <w:rFonts w:hint="default" w:ascii="仿宋_GB2312" w:hAnsi="仿宋_GB2312" w:eastAsia="仿宋_GB2312" w:cs="仿宋_GB2312"/>
          <w:b/>
          <w:bCs w:val="0"/>
          <w:color w:val="333333"/>
          <w:kern w:val="0"/>
          <w:sz w:val="32"/>
          <w:szCs w:val="32"/>
        </w:rPr>
        <w:t>四、政府信息公开行政复议、行政诉讼情况</w:t>
      </w:r>
    </w:p>
    <w:p>
      <w:pPr>
        <w:widowControl/>
        <w:shd w:val="clear" w:color="auto" w:fill="FFFFFF"/>
        <w:ind w:firstLine="480"/>
        <w:rPr>
          <w:rFonts w:hint="default" w:ascii="Times New Roman" w:hAnsi="Times New Roman" w:cs="Times New Roman"/>
          <w:color w:val="333333"/>
          <w:kern w:val="0"/>
          <w:sz w:val="24"/>
        </w:rPr>
      </w:pPr>
    </w:p>
    <w:tbl>
      <w:tblPr>
        <w:tblStyle w:val="3"/>
        <w:tblW w:w="8220" w:type="dxa"/>
        <w:jc w:val="center"/>
        <w:tblLayout w:type="fixed"/>
        <w:tblCellMar>
          <w:top w:w="0" w:type="dxa"/>
          <w:left w:w="0" w:type="dxa"/>
          <w:bottom w:w="0" w:type="dxa"/>
          <w:right w:w="0" w:type="dxa"/>
        </w:tblCellMar>
      </w:tblPr>
      <w:tblGrid>
        <w:gridCol w:w="547"/>
        <w:gridCol w:w="547"/>
        <w:gridCol w:w="547"/>
        <w:gridCol w:w="547"/>
        <w:gridCol w:w="596"/>
        <w:gridCol w:w="498"/>
        <w:gridCol w:w="548"/>
        <w:gridCol w:w="548"/>
        <w:gridCol w:w="548"/>
        <w:gridCol w:w="548"/>
        <w:gridCol w:w="548"/>
        <w:gridCol w:w="548"/>
        <w:gridCol w:w="548"/>
        <w:gridCol w:w="549"/>
        <w:gridCol w:w="553"/>
      </w:tblGrid>
      <w:tr>
        <w:tblPrEx>
          <w:tblCellMar>
            <w:top w:w="0" w:type="dxa"/>
            <w:left w:w="0" w:type="dxa"/>
            <w:bottom w:w="0" w:type="dxa"/>
            <w:right w:w="0" w:type="dxa"/>
          </w:tblCellMar>
        </w:tblPrEx>
        <w:trPr>
          <w:trHeight w:val="0" w:hRule="atLeast"/>
          <w:jc w:val="center"/>
        </w:trPr>
        <w:tc>
          <w:tcPr>
            <w:tcW w:w="2784"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行政复议</w:t>
            </w:r>
          </w:p>
        </w:tc>
        <w:tc>
          <w:tcPr>
            <w:tcW w:w="5436" w:type="dxa"/>
            <w:gridSpan w:val="10"/>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行政诉讼</w:t>
            </w:r>
          </w:p>
        </w:tc>
      </w:tr>
      <w:tr>
        <w:tblPrEx>
          <w:tblCellMar>
            <w:top w:w="0" w:type="dxa"/>
            <w:left w:w="0" w:type="dxa"/>
            <w:bottom w:w="0" w:type="dxa"/>
            <w:right w:w="0" w:type="dxa"/>
          </w:tblCellMar>
        </w:tblPrEx>
        <w:trPr>
          <w:trHeight w:val="0" w:hRule="atLeast"/>
          <w:jc w:val="center"/>
        </w:trPr>
        <w:tc>
          <w:tcPr>
            <w:tcW w:w="547"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结果维持</w:t>
            </w:r>
          </w:p>
        </w:tc>
        <w:tc>
          <w:tcPr>
            <w:tcW w:w="547" w:type="dxa"/>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结果纠正</w:t>
            </w:r>
          </w:p>
        </w:tc>
        <w:tc>
          <w:tcPr>
            <w:tcW w:w="547"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其他结果</w:t>
            </w:r>
          </w:p>
        </w:tc>
        <w:tc>
          <w:tcPr>
            <w:tcW w:w="547"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尚未审结</w:t>
            </w:r>
          </w:p>
        </w:tc>
        <w:tc>
          <w:tcPr>
            <w:tcW w:w="596"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总计</w:t>
            </w:r>
          </w:p>
        </w:tc>
        <w:tc>
          <w:tcPr>
            <w:tcW w:w="2690" w:type="dxa"/>
            <w:gridSpan w:val="5"/>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未经复议直接起诉</w:t>
            </w:r>
          </w:p>
        </w:tc>
        <w:tc>
          <w:tcPr>
            <w:tcW w:w="2746" w:type="dxa"/>
            <w:gridSpan w:val="5"/>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复议后起诉</w:t>
            </w:r>
          </w:p>
        </w:tc>
      </w:tr>
      <w:tr>
        <w:tblPrEx>
          <w:tblCellMar>
            <w:top w:w="0" w:type="dxa"/>
            <w:left w:w="0" w:type="dxa"/>
            <w:bottom w:w="0" w:type="dxa"/>
            <w:right w:w="0" w:type="dxa"/>
          </w:tblCellMar>
        </w:tblPrEx>
        <w:trPr>
          <w:trHeight w:val="0" w:hRule="atLeast"/>
          <w:jc w:val="center"/>
        </w:trPr>
        <w:tc>
          <w:tcPr>
            <w:tcW w:w="547" w:type="dxa"/>
            <w:vMerge w:val="continue"/>
            <w:tcBorders>
              <w:top w:val="nil"/>
              <w:left w:val="single" w:color="auto" w:sz="8" w:space="0"/>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547" w:type="dxa"/>
            <w:vMerge w:val="continue"/>
            <w:tcBorders>
              <w:top w:val="nil"/>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547" w:type="dxa"/>
            <w:vMerge w:val="continue"/>
            <w:tcBorders>
              <w:top w:val="single" w:color="auto" w:sz="8" w:space="0"/>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547" w:type="dxa"/>
            <w:vMerge w:val="continue"/>
            <w:tcBorders>
              <w:top w:val="single" w:color="auto" w:sz="8" w:space="0"/>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596" w:type="dxa"/>
            <w:vMerge w:val="continue"/>
            <w:tcBorders>
              <w:top w:val="single" w:color="auto" w:sz="8" w:space="0"/>
              <w:left w:val="nil"/>
              <w:bottom w:val="single" w:color="auto" w:sz="8" w:space="0"/>
              <w:right w:val="single" w:color="auto" w:sz="8" w:space="0"/>
            </w:tcBorders>
            <w:noWrap w:val="0"/>
            <w:vAlign w:val="center"/>
          </w:tcPr>
          <w:p>
            <w:pPr>
              <w:widowControl/>
              <w:jc w:val="left"/>
              <w:rPr>
                <w:rFonts w:hint="default" w:ascii="Times New Roman" w:hAnsi="Times New Roman" w:cs="Times New Roman"/>
                <w:kern w:val="0"/>
                <w:sz w:val="24"/>
              </w:rPr>
            </w:pPr>
          </w:p>
        </w:tc>
        <w:tc>
          <w:tcPr>
            <w:tcW w:w="49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结果维持</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结果纠正</w:t>
            </w:r>
          </w:p>
        </w:tc>
        <w:tc>
          <w:tcPr>
            <w:tcW w:w="54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其他结果</w:t>
            </w:r>
          </w:p>
        </w:tc>
        <w:tc>
          <w:tcPr>
            <w:tcW w:w="54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尚未审结</w:t>
            </w:r>
          </w:p>
        </w:tc>
        <w:tc>
          <w:tcPr>
            <w:tcW w:w="54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总计</w:t>
            </w:r>
          </w:p>
        </w:tc>
        <w:tc>
          <w:tcPr>
            <w:tcW w:w="54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结果维持</w:t>
            </w:r>
          </w:p>
        </w:tc>
        <w:tc>
          <w:tcPr>
            <w:tcW w:w="54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结果纠正</w:t>
            </w:r>
          </w:p>
        </w:tc>
        <w:tc>
          <w:tcPr>
            <w:tcW w:w="54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其他结果</w:t>
            </w:r>
          </w:p>
        </w:tc>
        <w:tc>
          <w:tcPr>
            <w:tcW w:w="54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尚未审结</w:t>
            </w:r>
          </w:p>
        </w:tc>
        <w:tc>
          <w:tcPr>
            <w:tcW w:w="55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0"/>
                <w:szCs w:val="20"/>
              </w:rPr>
              <w:t>总计</w:t>
            </w:r>
          </w:p>
        </w:tc>
      </w:tr>
      <w:tr>
        <w:tblPrEx>
          <w:tblCellMar>
            <w:top w:w="0" w:type="dxa"/>
            <w:left w:w="0" w:type="dxa"/>
            <w:bottom w:w="0" w:type="dxa"/>
            <w:right w:w="0" w:type="dxa"/>
          </w:tblCellMar>
        </w:tblPrEx>
        <w:trPr>
          <w:trHeight w:val="0" w:hRule="atLeast"/>
          <w:jc w:val="center"/>
        </w:trPr>
        <w:tc>
          <w:tcPr>
            <w:tcW w:w="547"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宋体" w:cs="Times New Roman"/>
                <w:kern w:val="0"/>
                <w:sz w:val="24"/>
                <w:lang w:val="en-US" w:eastAsia="zh-CN"/>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7"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9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49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4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c>
          <w:tcPr>
            <w:tcW w:w="55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default" w:ascii="Times New Roman" w:hAnsi="Times New Roman" w:cs="Times New Roman"/>
                <w:kern w:val="0"/>
                <w:sz w:val="24"/>
              </w:rPr>
            </w:pPr>
            <w:r>
              <w:rPr>
                <w:rFonts w:hint="default" w:ascii="Times New Roman" w:hAnsi="Times New Roman" w:cs="Times New Roman"/>
                <w:kern w:val="0"/>
                <w:sz w:val="20"/>
                <w:szCs w:val="20"/>
              </w:rPr>
              <w:t> </w:t>
            </w:r>
            <w:r>
              <w:rPr>
                <w:rFonts w:hint="eastAsia" w:ascii="Times New Roman" w:hAnsi="Times New Roman" w:cs="Times New Roman"/>
                <w:kern w:val="0"/>
                <w:sz w:val="20"/>
                <w:szCs w:val="20"/>
                <w:lang w:val="en-US" w:eastAsia="zh-CN"/>
              </w:rPr>
              <w:t>0</w:t>
            </w:r>
          </w:p>
        </w:tc>
      </w:tr>
    </w:tbl>
    <w:p>
      <w:pPr>
        <w:widowControl/>
        <w:shd w:val="clear" w:color="auto" w:fill="FFFFFF"/>
        <w:jc w:val="center"/>
        <w:rPr>
          <w:rFonts w:hint="default" w:ascii="Times New Roman" w:hAnsi="Times New Roman" w:cs="Times New Roman"/>
          <w:color w:val="333333"/>
          <w:kern w:val="0"/>
          <w:sz w:val="24"/>
        </w:rPr>
      </w:pPr>
    </w:p>
    <w:p>
      <w:pPr>
        <w:keepNext w:val="0"/>
        <w:keepLines w:val="0"/>
        <w:pageBreakBefore w:val="0"/>
        <w:widowControl/>
        <w:shd w:val="clear" w:color="auto" w:fill="FFFFFF"/>
        <w:kinsoku/>
        <w:wordWrap/>
        <w:overflowPunct/>
        <w:topLinePunct w:val="0"/>
        <w:autoSpaceDE/>
        <w:autoSpaceDN/>
        <w:bidi w:val="0"/>
        <w:adjustRightInd/>
        <w:snapToGrid/>
        <w:spacing w:line="576" w:lineRule="exact"/>
        <w:ind w:right="0" w:rightChars="0" w:firstLine="0" w:firstLineChars="0"/>
        <w:jc w:val="left"/>
        <w:textAlignment w:val="auto"/>
        <w:outlineLvl w:val="9"/>
        <w:rPr>
          <w:rFonts w:hint="eastAsia" w:ascii="仿宋_GB2312" w:hAnsi="仿宋_GB2312" w:eastAsia="仿宋_GB2312" w:cs="仿宋_GB2312"/>
          <w:b/>
          <w:bCs w:val="0"/>
          <w:color w:val="333333"/>
          <w:kern w:val="0"/>
          <w:sz w:val="32"/>
          <w:szCs w:val="32"/>
          <w:lang w:eastAsia="zh-CN"/>
        </w:rPr>
      </w:pPr>
      <w:r>
        <w:rPr>
          <w:rFonts w:hint="eastAsia" w:ascii="仿宋_GB2312" w:hAnsi="仿宋_GB2312" w:eastAsia="仿宋_GB2312" w:cs="仿宋_GB2312"/>
          <w:b/>
          <w:bCs w:val="0"/>
          <w:color w:val="333333"/>
          <w:kern w:val="0"/>
          <w:sz w:val="32"/>
          <w:szCs w:val="32"/>
          <w:lang w:eastAsia="zh-CN"/>
        </w:rPr>
        <w:t>五、</w:t>
      </w:r>
      <w:r>
        <w:rPr>
          <w:rFonts w:hint="default" w:ascii="仿宋_GB2312" w:hAnsi="仿宋_GB2312" w:eastAsia="仿宋_GB2312" w:cs="仿宋_GB2312"/>
          <w:b/>
          <w:bCs w:val="0"/>
          <w:color w:val="333333"/>
          <w:kern w:val="0"/>
          <w:sz w:val="32"/>
          <w:szCs w:val="32"/>
        </w:rPr>
        <w:t>存在的主要问题及改进情况</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b/>
          <w:bCs w:val="0"/>
          <w:color w:val="333333"/>
          <w:kern w:val="0"/>
          <w:sz w:val="32"/>
          <w:szCs w:val="32"/>
          <w:lang w:eastAsia="zh-CN"/>
        </w:rPr>
      </w:pPr>
      <w:r>
        <w:rPr>
          <w:rFonts w:hint="eastAsia" w:ascii="仿宋_GB2312" w:hAnsi="仿宋_GB2312" w:eastAsia="仿宋_GB2312" w:cs="仿宋_GB2312"/>
          <w:b/>
          <w:bCs w:val="0"/>
          <w:color w:val="333333"/>
          <w:kern w:val="0"/>
          <w:sz w:val="32"/>
          <w:szCs w:val="32"/>
          <w:lang w:eastAsia="zh-CN"/>
        </w:rPr>
        <w:t>（一）存在的主要问题</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Cs/>
          <w:color w:val="333333"/>
          <w:kern w:val="0"/>
          <w:sz w:val="32"/>
          <w:szCs w:val="32"/>
          <w:lang w:eastAsia="zh-CN"/>
        </w:rPr>
      </w:pPr>
      <w:r>
        <w:rPr>
          <w:rFonts w:hint="eastAsia" w:ascii="仿宋_GB2312" w:hAnsi="仿宋_GB2312" w:eastAsia="仿宋_GB2312" w:cs="仿宋_GB2312"/>
          <w:bCs/>
          <w:color w:val="333333"/>
          <w:kern w:val="0"/>
          <w:sz w:val="32"/>
          <w:szCs w:val="32"/>
          <w:lang w:eastAsia="zh-CN"/>
        </w:rPr>
        <w:t>2020年同仁市人民政府持续做好完善平台建设、加大信息发布力度、回应群众关切等政务公开工作，整体完成了省、州政府2020年政务公开工作要点任务，但仍然存在一些不足，主要表现在：一是个别单位“公开为常态，不公开为例外”“应公开尽公开”信息公开的理念还不牢固。二是市人民政府门户网站平台建设、页面设计、内容填充比照省、州网站存在明显不足。三是部分单位负责政务公开的工作人员力量薄弱、业务不扎实。</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val="0"/>
          <w:color w:val="333333"/>
          <w:kern w:val="0"/>
          <w:sz w:val="32"/>
          <w:szCs w:val="32"/>
          <w:lang w:eastAsia="zh-CN"/>
        </w:rPr>
        <w:t>（二）改进情况</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是提高思想认识，认真落实政府信息公开工作机构法定主体责任和分管政府信息公开工作领导第一责任，对于工作不落实、整改不到位造成不良影响的，一律在年度政务公开考核中予以扣减分，并对相关责任单位和责任人进行通报。二是坚持把提升公众体验作为政府信息公开平台建设的重要基础性环节，按照权威准确、内容全面、便于获取的原则，不断强化政府信息公开平台内容建设与管理，持续提升公开内容质量和公开效能，切实为公众提供基础性、一体化、便捷化的政府信息服务。三是加大对工作人员的培训力度。定期召集各单位负责政务公开工作人员开展交流活动，不定期开展业务培训活动，提高各单位工作人员的理论和业务水平。</w:t>
      </w:r>
    </w:p>
    <w:p>
      <w:pPr>
        <w:widowControl/>
        <w:numPr>
          <w:ilvl w:val="0"/>
          <w:numId w:val="2"/>
        </w:numPr>
        <w:shd w:val="clear" w:color="auto" w:fill="FFFFFF"/>
        <w:ind w:firstLine="480"/>
        <w:rPr>
          <w:rFonts w:hint="default" w:ascii="Times New Roman" w:hAnsi="Times New Roman" w:eastAsia="黑体" w:cs="Times New Roman"/>
          <w:bCs/>
          <w:color w:val="333333"/>
          <w:kern w:val="0"/>
          <w:sz w:val="32"/>
          <w:szCs w:val="32"/>
        </w:rPr>
      </w:pPr>
      <w:r>
        <w:rPr>
          <w:rFonts w:hint="default" w:ascii="Times New Roman" w:hAnsi="Times New Roman" w:eastAsia="黑体" w:cs="Times New Roman"/>
          <w:bCs/>
          <w:color w:val="333333"/>
          <w:kern w:val="0"/>
          <w:sz w:val="32"/>
          <w:szCs w:val="32"/>
        </w:rPr>
        <w:t>其他需要报告的事项</w:t>
      </w:r>
    </w:p>
    <w:p>
      <w:pPr>
        <w:widowControl/>
        <w:numPr>
          <w:ilvl w:val="0"/>
          <w:numId w:val="0"/>
        </w:numPr>
        <w:shd w:val="clear" w:color="auto" w:fill="FFFFFF"/>
        <w:ind w:firstLine="960" w:firstLineChars="300"/>
      </w:pPr>
      <w:r>
        <w:rPr>
          <w:rFonts w:hint="eastAsia" w:ascii="Times New Roman" w:hAnsi="Times New Roman" w:eastAsia="方正公文仿宋" w:cs="Times New Roman"/>
          <w:color w:val="333333"/>
          <w:kern w:val="0"/>
          <w:sz w:val="32"/>
          <w:szCs w:val="32"/>
          <w:lang w:eastAsia="zh-CN"/>
        </w:rPr>
        <w:t>无</w:t>
      </w:r>
      <w:bookmarkStart w:id="0" w:name="_GoBack"/>
      <w:bookmarkEnd w:id="0"/>
    </w:p>
    <w:sectPr>
      <w:pgSz w:w="11906" w:h="16838"/>
      <w:pgMar w:top="2098" w:right="1474" w:bottom="198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altName w:val="宋体"/>
    <w:panose1 w:val="02000000000000000000"/>
    <w:charset w:val="86"/>
    <w:family w:val="auto"/>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公文仿宋">
    <w:altName w:val="仿宋"/>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9C92D"/>
    <w:multiLevelType w:val="singleLevel"/>
    <w:tmpl w:val="A4B9C92D"/>
    <w:lvl w:ilvl="0" w:tentative="0">
      <w:start w:val="1"/>
      <w:numFmt w:val="chineseCounting"/>
      <w:suff w:val="nothing"/>
      <w:lvlText w:val="（%1）"/>
      <w:lvlJc w:val="left"/>
      <w:rPr>
        <w:rFonts w:hint="eastAsia"/>
      </w:rPr>
    </w:lvl>
  </w:abstractNum>
  <w:abstractNum w:abstractNumId="1">
    <w:nsid w:val="44DB78AB"/>
    <w:multiLevelType w:val="singleLevel"/>
    <w:tmpl w:val="44DB78AB"/>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TQ3OGYxODNhYmQ3NTExMmUzNzIxMzY4OTcyNjcifQ=="/>
  </w:docVars>
  <w:rsids>
    <w:rsidRoot w:val="4A962EF1"/>
    <w:rsid w:val="049E4729"/>
    <w:rsid w:val="06FA0F6D"/>
    <w:rsid w:val="08EC21A7"/>
    <w:rsid w:val="0D154C09"/>
    <w:rsid w:val="0D313A2E"/>
    <w:rsid w:val="11A77B2F"/>
    <w:rsid w:val="153C4DF3"/>
    <w:rsid w:val="165B18DC"/>
    <w:rsid w:val="1CE17D88"/>
    <w:rsid w:val="1F1621FD"/>
    <w:rsid w:val="1FD71C16"/>
    <w:rsid w:val="1FE16477"/>
    <w:rsid w:val="209F55F6"/>
    <w:rsid w:val="20B90BF5"/>
    <w:rsid w:val="20ED25B4"/>
    <w:rsid w:val="213C3C9B"/>
    <w:rsid w:val="24260DB7"/>
    <w:rsid w:val="272A76AF"/>
    <w:rsid w:val="281C181A"/>
    <w:rsid w:val="2BE620AA"/>
    <w:rsid w:val="2F0D328D"/>
    <w:rsid w:val="325576E0"/>
    <w:rsid w:val="380262E7"/>
    <w:rsid w:val="3BD24B02"/>
    <w:rsid w:val="3D9F742A"/>
    <w:rsid w:val="3FE82668"/>
    <w:rsid w:val="41280967"/>
    <w:rsid w:val="442D0BA2"/>
    <w:rsid w:val="475E4032"/>
    <w:rsid w:val="47DA178A"/>
    <w:rsid w:val="48FF2904"/>
    <w:rsid w:val="4A962EF1"/>
    <w:rsid w:val="4D9D4F66"/>
    <w:rsid w:val="4FEE7FA5"/>
    <w:rsid w:val="532644C9"/>
    <w:rsid w:val="53BE65E0"/>
    <w:rsid w:val="5588574A"/>
    <w:rsid w:val="56DC6C38"/>
    <w:rsid w:val="5A4335B1"/>
    <w:rsid w:val="5A89691D"/>
    <w:rsid w:val="5AC059E2"/>
    <w:rsid w:val="5D8665ED"/>
    <w:rsid w:val="5DC57B8F"/>
    <w:rsid w:val="5DE37F53"/>
    <w:rsid w:val="61050F56"/>
    <w:rsid w:val="62BA70D3"/>
    <w:rsid w:val="6A7054F4"/>
    <w:rsid w:val="6F4C78A1"/>
    <w:rsid w:val="72CE0E72"/>
    <w:rsid w:val="73F90438"/>
    <w:rsid w:val="74346996"/>
    <w:rsid w:val="7ADC7563"/>
    <w:rsid w:val="7B0C04BE"/>
    <w:rsid w:val="7B843B37"/>
    <w:rsid w:val="7C631932"/>
    <w:rsid w:val="7C875746"/>
    <w:rsid w:val="7FD16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3011</Words>
  <Characters>3170</Characters>
  <Lines>0</Lines>
  <Paragraphs>0</Paragraphs>
  <TotalTime>16</TotalTime>
  <ScaleCrop>false</ScaleCrop>
  <LinksUpToDate>false</LinksUpToDate>
  <CharactersWithSpaces>3364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2021-01-25T07:59:00Z</dcterms:created>
  <dc:creator>Administrator</dc:creator>
  <cp:lastModifiedBy>海灵软件—何易佳</cp:lastModifiedBy>
  <dcterms:modified xsi:type="dcterms:W3CDTF">2024-05-21T09:21:07Z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SaveFontToCloudKey">
    <vt:lpwstr>250473726_cloud</vt:lpwstr>
  </property>
  <property fmtid="{D5CDD505-2E9C-101B-9397-08002B2CF9AE}" pid="4" name="ICV">
    <vt:lpwstr>57E81994F1D844FEB97F39E40924922C_12</vt:lpwstr>
  </property>
</Properties>
</file>